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11"/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7623"/>
      </w:tblGrid>
      <w:tr w:rsidR="00397D53" w:rsidRPr="00397D53" w:rsidTr="00397D53">
        <w:trPr>
          <w:tblHeader/>
        </w:trPr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</w:tcPr>
          <w:p w:rsidR="00397D53" w:rsidRPr="00397D53" w:rsidRDefault="00397D53" w:rsidP="00397D53">
            <w:pPr>
              <w:jc w:val="center"/>
              <w:rPr>
                <w:b/>
                <w:bCs/>
                <w:color w:val="FF0000"/>
                <w:sz w:val="48"/>
              </w:rPr>
            </w:pPr>
            <w:bookmarkStart w:id="0" w:name="_GoBack"/>
            <w:bookmarkEnd w:id="0"/>
            <w:r w:rsidRPr="00397D53">
              <w:rPr>
                <w:b/>
                <w:bCs/>
                <w:color w:val="FF0000"/>
                <w:sz w:val="48"/>
              </w:rPr>
              <w:t xml:space="preserve">Новые образовательные стандарты НОО </w:t>
            </w:r>
            <w:proofErr w:type="gramStart"/>
            <w:r w:rsidRPr="00397D53">
              <w:rPr>
                <w:b/>
                <w:bCs/>
                <w:color w:val="FF0000"/>
                <w:sz w:val="48"/>
              </w:rPr>
              <w:t>и ООО</w:t>
            </w:r>
            <w:proofErr w:type="gramEnd"/>
            <w:r w:rsidRPr="00397D53">
              <w:rPr>
                <w:b/>
                <w:bCs/>
                <w:color w:val="FF0000"/>
                <w:sz w:val="48"/>
              </w:rPr>
              <w:t>: обзор изменений</w:t>
            </w:r>
          </w:p>
          <w:p w:rsidR="00397D53" w:rsidRPr="00397D53" w:rsidRDefault="00397D53" w:rsidP="00397D53">
            <w:pPr>
              <w:rPr>
                <w:b/>
                <w:bCs/>
              </w:rPr>
            </w:pPr>
            <w:r w:rsidRPr="00397D53">
              <w:rPr>
                <w:b/>
                <w:bCs/>
                <w:highlight w:val="yellow"/>
              </w:rPr>
              <w:t xml:space="preserve">В статье – таблица с обзором главных изменений во ФГОС НОО </w:t>
            </w:r>
            <w:proofErr w:type="gramStart"/>
            <w:r w:rsidRPr="00397D53">
              <w:rPr>
                <w:b/>
                <w:bCs/>
                <w:highlight w:val="yellow"/>
              </w:rPr>
              <w:t>и ООО</w:t>
            </w:r>
            <w:proofErr w:type="gramEnd"/>
            <w:r w:rsidRPr="00397D53">
              <w:rPr>
                <w:b/>
                <w:bCs/>
                <w:highlight w:val="yellow"/>
              </w:rPr>
              <w:t xml:space="preserve">. В ней вы найдете, что скорректировали в новых стандартах, как было раньше и какие требования придется соблюсти теперь. Вам не придется самостоятельно анализировать нововведения или поручать эту объемную работу подчиненным. </w:t>
            </w:r>
            <w:proofErr w:type="gramStart"/>
            <w:r w:rsidRPr="00397D53">
              <w:rPr>
                <w:b/>
                <w:bCs/>
                <w:highlight w:val="yellow"/>
              </w:rPr>
              <w:t>Вы можете передать таблицу членам рабочей группы по переходу на новые ФГОС – так им будет легче построить свою работу.</w:t>
            </w:r>
            <w:proofErr w:type="gramEnd"/>
          </w:p>
          <w:p w:rsidR="00397D53" w:rsidRPr="00397D53" w:rsidRDefault="00397D53" w:rsidP="00397D53">
            <w:pPr>
              <w:rPr>
                <w:b/>
                <w:bCs/>
              </w:rPr>
            </w:pPr>
          </w:p>
        </w:tc>
      </w:tr>
      <w:tr w:rsidR="00397D53" w:rsidRPr="00397D53" w:rsidTr="00397D53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pPr>
              <w:rPr>
                <w:b/>
                <w:bCs/>
                <w:color w:val="FF0000"/>
                <w:sz w:val="40"/>
              </w:rPr>
            </w:pPr>
            <w:r w:rsidRPr="00397D53">
              <w:rPr>
                <w:b/>
                <w:bCs/>
                <w:color w:val="FF0000"/>
                <w:sz w:val="40"/>
              </w:rPr>
              <w:t>Как стало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</w:t>
            </w:r>
            <w:hyperlink r:id="rId5" w:tgtFrame="_blank" w:history="1">
              <w:r w:rsidRPr="00397D53">
                <w:rPr>
                  <w:rStyle w:val="a3"/>
                  <w:b/>
                  <w:bCs/>
                </w:rPr>
                <w:t>ФГОС НОО</w:t>
              </w:r>
            </w:hyperlink>
            <w:r w:rsidRPr="00397D53">
              <w:t> </w:t>
            </w:r>
            <w:proofErr w:type="gramStart"/>
            <w:r w:rsidRPr="00397D53">
              <w:t>и </w:t>
            </w:r>
            <w:hyperlink r:id="rId6" w:tgtFrame="_blank" w:history="1">
              <w:r w:rsidRPr="00397D53">
                <w:rPr>
                  <w:rStyle w:val="a3"/>
                  <w:b/>
                  <w:bCs/>
                </w:rPr>
                <w:t>ООО</w:t>
              </w:r>
              <w:proofErr w:type="gramEnd"/>
            </w:hyperlink>
            <w:r w:rsidRPr="00397D53">
              <w:t xml:space="preserve"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397D53">
              <w:t>и ООО</w:t>
            </w:r>
            <w:proofErr w:type="gramEnd"/>
            <w:r w:rsidRPr="00397D53"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7" w:anchor="dfasv1omg6" w:tgtFrame="_blank" w:history="1">
              <w:r w:rsidRPr="00397D53">
                <w:rPr>
                  <w:rStyle w:val="a3"/>
                  <w:b/>
                  <w:bCs/>
                </w:rPr>
                <w:t>п. 6</w:t>
              </w:r>
            </w:hyperlink>
            <w:r w:rsidRPr="00397D53">
              <w:t> ФГОС НОО, </w:t>
            </w:r>
            <w:hyperlink r:id="rId8" w:anchor="dfash5wnfp" w:tgtFrame="_blank" w:history="1">
              <w:r w:rsidRPr="00397D53">
                <w:rPr>
                  <w:rStyle w:val="a3"/>
                  <w:b/>
                  <w:bCs/>
                </w:rPr>
                <w:t>п. 5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результатам освоения программы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397D53">
              <w:t>метапредметным</w:t>
            </w:r>
            <w:proofErr w:type="spellEnd"/>
            <w:r w:rsidRPr="00397D53">
              <w:t xml:space="preserve">, предметным. </w:t>
            </w:r>
            <w:r w:rsidRPr="00397D53">
              <w:lastRenderedPageBreak/>
              <w:t>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9" w:anchor="dfaszqlvzv" w:tgtFrame="_blank" w:history="1">
              <w:r w:rsidRPr="00397D53">
                <w:rPr>
                  <w:rStyle w:val="a3"/>
                  <w:b/>
                  <w:bCs/>
                </w:rPr>
                <w:t>п. 9</w:t>
              </w:r>
            </w:hyperlink>
            <w:r w:rsidRPr="00397D53">
              <w:t> ФГОС НОО, </w:t>
            </w:r>
            <w:hyperlink r:id="rId10" w:anchor="dfassx13gb" w:tgtFrame="_blank" w:history="1">
              <w:r w:rsidRPr="00397D53">
                <w:rPr>
                  <w:rStyle w:val="a3"/>
                  <w:b/>
                  <w:bCs/>
                </w:rPr>
                <w:t>п. 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Требования к пояснительной записке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Содержание пояснительной записки было разным для НОО </w:t>
            </w:r>
            <w:proofErr w:type="gramStart"/>
            <w:r w:rsidRPr="00397D53">
              <w:t>и ООО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1" w:anchor="dfasvexuvl" w:tgtFrame="_blank" w:history="1">
              <w:r w:rsidRPr="00397D53">
                <w:rPr>
                  <w:rStyle w:val="a3"/>
                  <w:b/>
                  <w:bCs/>
                </w:rPr>
                <w:t>п. 30.1</w:t>
              </w:r>
            </w:hyperlink>
            <w:r w:rsidRPr="00397D53">
              <w:t> ФГОС НОО). А на уровне ООО понадобится добавить общую характеристику программы. Еще для ООО нужно описать механизмы реализации программы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э</w:t>
            </w:r>
            <w:proofErr w:type="gramEnd"/>
            <w:r w:rsidRPr="00397D53">
              <w:t>то касается и индивидуальных учебных планов (</w:t>
            </w:r>
            <w:hyperlink r:id="rId12" w:anchor="dfassgzqlv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рабочим программам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Не было требований: к тематическому планированию курса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 w:rsidRPr="00397D53">
              <w:t>теме</w:t>
            </w:r>
            <w:proofErr w:type="gramEnd"/>
            <w:r w:rsidRPr="00397D53"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3" w:anchor="dfas04naww" w:tgtFrame="_blank" w:history="1">
              <w:r w:rsidRPr="00397D53">
                <w:rPr>
                  <w:rStyle w:val="a3"/>
                  <w:b/>
                  <w:bCs/>
                </w:rPr>
                <w:t>п. 31.1</w:t>
              </w:r>
            </w:hyperlink>
            <w:r w:rsidRPr="00397D53">
              <w:t> ФГОС НОО, </w:t>
            </w:r>
            <w:hyperlink r:id="rId14" w:anchor="dfasdwo0vd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Содержание календарного плана воспитательной работы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5" w:anchor="dfas0vuvdw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НОО, </w:t>
            </w:r>
            <w:hyperlink r:id="rId16" w:anchor="dfas6o7soh" w:tgtFrame="_blank" w:history="1">
              <w:r w:rsidRPr="00397D53">
                <w:rPr>
                  <w:rStyle w:val="a3"/>
                  <w:b/>
                  <w:bCs/>
                </w:rPr>
                <w:t>п. 33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7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НОО, </w:t>
            </w:r>
            <w:hyperlink r:id="rId18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Изучение родного и второго иностранного языка на уровне ООО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Теперь изучение родного и второго иностранного языка можно организовать, если для этого есть условия в школе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9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Объем часов аудиторной нагрузки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ФГОС НОО: 2904 – минимум, 3345 – максимум</w:t>
            </w:r>
            <w:r w:rsidRPr="00397D53">
              <w:br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НОО: 2954 – минимум, 3190 – максимум (</w:t>
            </w:r>
            <w:hyperlink r:id="rId20" w:anchor="dfasmy3ctz" w:tgtFrame="_blank" w:history="1">
              <w:r w:rsidRPr="00397D53">
                <w:rPr>
                  <w:rStyle w:val="a3"/>
                  <w:b/>
                  <w:bCs/>
                </w:rPr>
                <w:t>п. 32.1</w:t>
              </w:r>
            </w:hyperlink>
            <w:r w:rsidRPr="00397D53">
              <w:t> ФГОС НОО)</w:t>
            </w:r>
            <w:r w:rsidRPr="00397D53">
              <w:br/>
              <w:t>ФГОС ООО: 5058 – минимум, 5549 – максимум (</w:t>
            </w:r>
            <w:hyperlink r:id="rId21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Объем внеурочной деятельности на уровне НОО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1320 часов (</w:t>
            </w:r>
            <w:hyperlink r:id="rId22" w:anchor="dfasmiplcf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НОО)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структуре содержательного раздела ООП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397D53">
              <w:t>внеурочки</w:t>
            </w:r>
            <w:proofErr w:type="spellEnd"/>
            <w:r w:rsidRPr="00397D53"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 w:tgtFrame="_blank" w:history="1">
              <w:r w:rsidRPr="00397D53">
                <w:rPr>
                  <w:rStyle w:val="a3"/>
                  <w:b/>
                  <w:bCs/>
                </w:rPr>
                <w:t>п. 31</w:t>
              </w:r>
            </w:hyperlink>
            <w:r w:rsidRPr="00397D53"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4" w:anchor="dfasncew9b" w:tgtFrame="_blank" w:history="1">
              <w:r w:rsidRPr="00397D53">
                <w:rPr>
                  <w:rStyle w:val="a3"/>
                  <w:b/>
                  <w:bCs/>
                </w:rPr>
                <w:t>п. 32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Особенности обучения детей с ОВЗ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5" w:anchor="dfas0xqf3p" w:tgtFrame="_blank" w:history="1">
              <w:r w:rsidRPr="00397D53">
                <w:rPr>
                  <w:rStyle w:val="a3"/>
                  <w:b/>
                  <w:bCs/>
                </w:rPr>
                <w:t>п. 12</w:t>
              </w:r>
            </w:hyperlink>
            <w:r w:rsidRPr="00397D53">
              <w:t> ФГОС ООО). Предусмотрели вариации предметов. Например, для глухих и слабослышащих можно не включать в программу музыку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 xml:space="preserve">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</w:t>
            </w:r>
            <w:r w:rsidRPr="00397D53">
              <w:lastRenderedPageBreak/>
              <w:t>аудиторных часов не может быть менее 6018 (</w:t>
            </w:r>
            <w:hyperlink r:id="rId26" w:anchor="dfassgyyfm" w:tgtFrame="_blank" w:history="1">
              <w:r w:rsidRPr="00397D53">
                <w:rPr>
                  <w:rStyle w:val="a3"/>
                  <w:b/>
                  <w:bCs/>
                </w:rPr>
                <w:t>п. 33.1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Использование электронных средств обучения, дистанционных технологий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7" w:anchor="dfas2e0y0m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НОО, </w:t>
            </w:r>
            <w:hyperlink r:id="rId28" w:anchor="dfasrvkugw" w:tgtFrame="_blank" w:history="1">
              <w:r w:rsidRPr="00397D53">
                <w:rPr>
                  <w:rStyle w:val="a3"/>
                  <w:b/>
                  <w:bCs/>
                </w:rPr>
                <w:t>п. 19</w:t>
              </w:r>
            </w:hyperlink>
            <w:r w:rsidRPr="00397D53"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29" w:anchor="dfasrgeoko" w:tgtFrame="_blank" w:history="1">
              <w:r w:rsidRPr="00397D53">
                <w:rPr>
                  <w:rStyle w:val="a3"/>
                  <w:b/>
                  <w:bCs/>
                </w:rPr>
                <w:t>п. 34.4</w:t>
              </w:r>
            </w:hyperlink>
            <w:r w:rsidRPr="00397D53">
              <w:t> ФГОС НОО, </w:t>
            </w:r>
            <w:hyperlink r:id="rId30" w:anchor="dfasqoxtco" w:tgtFrame="_blank" w:history="1">
              <w:r w:rsidRPr="00397D53">
                <w:rPr>
                  <w:rStyle w:val="a3"/>
                  <w:b/>
                  <w:bCs/>
                </w:rPr>
                <w:t>п. 35.4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Деление учеников на группы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образовательную деятельность можно организовать при помощи деления на группы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1" w:anchor="dfase0m86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НОО, </w:t>
            </w:r>
            <w:hyperlink r:id="rId32" w:anchor="dfasa3swo0" w:tgtFrame="_blank" w:history="1">
              <w:r w:rsidRPr="00397D53">
                <w:rPr>
                  <w:rStyle w:val="a3"/>
                  <w:b/>
                  <w:bCs/>
                </w:rPr>
                <w:t>п. 20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Требования к программе формирования универсальных учебных действий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3" w:anchor="dfas95wg7m" w:tgtFrame="_blank" w:history="1">
              <w:r w:rsidRPr="00397D53">
                <w:rPr>
                  <w:rStyle w:val="a3"/>
                  <w:b/>
                  <w:bCs/>
                </w:rPr>
                <w:t>п. 32.2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Рабочая программа воспитания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lastRenderedPageBreak/>
              <w:t>Рабочая программа воспитания НОО должна была быть модульной и включать в себя обязательные разделы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>ля рабочей программы 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4" w:anchor="dfaskimdls" w:tgtFrame="_blank" w:history="1">
              <w:r w:rsidRPr="00397D53">
                <w:rPr>
                  <w:rStyle w:val="a3"/>
                  <w:b/>
                  <w:bCs/>
                </w:rPr>
                <w:t>п. 31.3</w:t>
              </w:r>
            </w:hyperlink>
            <w:r w:rsidRPr="00397D53">
              <w:t> ФГОС НОО)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д</w:t>
            </w:r>
            <w:proofErr w:type="gramEnd"/>
            <w:r w:rsidRPr="00397D53">
              <w:t>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5" w:anchor="dfasmiyh33" w:tgtFrame="_blank" w:history="1">
              <w:r w:rsidRPr="00397D53">
                <w:rPr>
                  <w:rStyle w:val="a3"/>
                  <w:b/>
                  <w:bCs/>
                </w:rPr>
                <w:t>п. 32.3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Информационно-образовательная среда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397D53">
              <w:t>интернет-ресурсам</w:t>
            </w:r>
            <w:proofErr w:type="spellEnd"/>
            <w:r w:rsidRPr="00397D53">
              <w:t xml:space="preserve">, коллекциям </w:t>
            </w:r>
            <w:proofErr w:type="spellStart"/>
            <w:r w:rsidRPr="00397D53"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6" w:anchor="dfasz720uu" w:tgtFrame="_blank" w:history="1">
              <w:r w:rsidRPr="00397D53">
                <w:rPr>
                  <w:rStyle w:val="a3"/>
                  <w:b/>
                  <w:bCs/>
                </w:rPr>
                <w:t>п. 34.3</w:t>
              </w:r>
            </w:hyperlink>
            <w:r w:rsidRPr="00397D53">
              <w:t> ФГОС НОО, </w:t>
            </w:r>
            <w:hyperlink r:id="rId37" w:anchor="dfasokzkx9" w:tgtFrame="_blank" w:history="1">
              <w:r w:rsidRPr="00397D53">
                <w:rPr>
                  <w:rStyle w:val="a3"/>
                  <w:b/>
                  <w:bCs/>
                </w:rPr>
                <w:t>п. 35.3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Оснащение кабинетов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gramStart"/>
            <w:r w:rsidRPr="00397D53">
              <w:t>естественно-научного</w:t>
            </w:r>
            <w:proofErr w:type="gramEnd"/>
            <w:r w:rsidRPr="00397D53">
              <w:t xml:space="preserve"> цикла нужно оборудовать комплектами специального лабораторного оборудования (</w:t>
            </w:r>
            <w:hyperlink r:id="rId38" w:anchor="dfasdqez4z" w:tgtFrame="_blank" w:history="1">
              <w:r w:rsidRPr="00397D53">
                <w:rPr>
                  <w:rStyle w:val="a3"/>
                  <w:b/>
                  <w:bCs/>
                </w:rPr>
                <w:t>п. 36.3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Обеспечение учебниками и учебными пособиями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Школа </w:t>
            </w:r>
            <w:proofErr w:type="gramStart"/>
            <w:r w:rsidRPr="00397D53">
              <w:t>обязана</w:t>
            </w:r>
            <w:proofErr w:type="gramEnd"/>
            <w:r w:rsidRPr="00397D53">
              <w:t xml:space="preserve">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Школа </w:t>
            </w:r>
            <w:proofErr w:type="gramStart"/>
            <w:r w:rsidRPr="00397D53">
              <w:t>обязана</w:t>
            </w:r>
            <w:proofErr w:type="gramEnd"/>
            <w:r w:rsidRPr="00397D53">
              <w:t xml:space="preserve">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</w:t>
            </w:r>
            <w:r w:rsidRPr="00397D53">
              <w:lastRenderedPageBreak/>
              <w:t>в электронной форме (</w:t>
            </w:r>
            <w:hyperlink r:id="rId39" w:anchor="dfas58m0p2" w:tgtFrame="_blank" w:history="1">
              <w:r w:rsidRPr="00397D53">
                <w:rPr>
                  <w:rStyle w:val="a3"/>
                  <w:b/>
                  <w:bCs/>
                </w:rPr>
                <w:t>п. 36.1</w:t>
              </w:r>
            </w:hyperlink>
            <w:r w:rsidRPr="00397D53">
              <w:t> ФГОС НОО, </w:t>
            </w:r>
            <w:hyperlink r:id="rId40" w:anchor="dfasr7u3v4" w:tgtFrame="_blank" w:history="1">
              <w:r w:rsidRPr="00397D53">
                <w:rPr>
                  <w:rStyle w:val="a3"/>
                  <w:b/>
                  <w:bCs/>
                </w:rPr>
                <w:t>п. 37.3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lastRenderedPageBreak/>
              <w:t>Психолого-педагогические условия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 </w:t>
            </w:r>
            <w:proofErr w:type="gramStart"/>
            <w:r w:rsidRPr="00397D53">
              <w:t>новых</w:t>
            </w:r>
            <w:proofErr w:type="gramEnd"/>
            <w:r w:rsidRPr="00397D53"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1" w:anchor="dfaseqz7bn" w:tgtFrame="_blank" w:history="1">
              <w:r w:rsidRPr="00397D53">
                <w:rPr>
                  <w:rStyle w:val="a3"/>
                  <w:b/>
                  <w:bCs/>
                </w:rPr>
                <w:t>п. 37</w:t>
              </w:r>
            </w:hyperlink>
            <w:r w:rsidRPr="00397D53">
              <w:t> ФГОС НОО, </w:t>
            </w:r>
            <w:hyperlink r:id="rId42" w:anchor="dfas55s2zb" w:tgtFrame="_blank" w:history="1">
              <w:r w:rsidRPr="00397D53">
                <w:rPr>
                  <w:rStyle w:val="a3"/>
                  <w:b/>
                  <w:bCs/>
                </w:rPr>
                <w:t>п. 38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Повышение квалификации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</w:t>
            </w:r>
            <w:proofErr w:type="gramStart"/>
            <w:r w:rsidRPr="00397D53">
              <w:t>года</w:t>
            </w:r>
            <w:proofErr w:type="gramEnd"/>
            <w:r w:rsidRPr="00397D53">
              <w:t xml:space="preserve"> и обязан систематически повышать квалификацию. Но теперь нет указания, как часто он должен это делать (</w:t>
            </w:r>
            <w:hyperlink r:id="rId43" w:anchor="dfaswo7wy4" w:tgtFrame="_blank" w:history="1">
              <w:r w:rsidRPr="00397D53">
                <w:rPr>
                  <w:rStyle w:val="a3"/>
                  <w:b/>
                  <w:bCs/>
                </w:rPr>
                <w:t>п. 38.2</w:t>
              </w:r>
            </w:hyperlink>
            <w:r w:rsidRPr="00397D53">
              <w:t> ФГОС НОО, </w:t>
            </w:r>
            <w:hyperlink r:id="rId44" w:anchor="dfasvst5i5" w:tgtFrame="_blank" w:history="1">
              <w:r w:rsidRPr="00397D53">
                <w:rPr>
                  <w:rStyle w:val="a3"/>
                  <w:b/>
                  <w:bCs/>
                </w:rPr>
                <w:t>п. 39.2</w:t>
              </w:r>
            </w:hyperlink>
            <w:r w:rsidRPr="00397D53">
              <w:t> ФГОС ООО)</w:t>
            </w:r>
          </w:p>
        </w:tc>
      </w:tr>
      <w:tr w:rsidR="00397D53" w:rsidRPr="00397D53" w:rsidTr="00397D53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rPr>
                <w:b/>
                <w:bCs/>
              </w:rPr>
              <w:t>Частные школы</w:t>
            </w:r>
          </w:p>
        </w:tc>
      </w:tr>
      <w:tr w:rsidR="00397D53" w:rsidRPr="00397D53" w:rsidTr="00397D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</w:t>
            </w:r>
            <w:proofErr w:type="gramStart"/>
            <w:r w:rsidRPr="00397D53">
              <w:t>.</w:t>
            </w:r>
            <w:proofErr w:type="gramEnd"/>
            <w:r w:rsidRPr="00397D53">
              <w:t xml:space="preserve"> </w:t>
            </w:r>
            <w:proofErr w:type="gramStart"/>
            <w:r w:rsidRPr="00397D53">
              <w:t>п</w:t>
            </w:r>
            <w:proofErr w:type="gramEnd"/>
            <w:r w:rsidRPr="00397D53">
              <w:t>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397D53" w:rsidRPr="00397D53" w:rsidRDefault="00397D53" w:rsidP="00397D53">
            <w:r w:rsidRPr="00397D53"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5" w:anchor="dfastmm30u" w:tgtFrame="_blank" w:history="1">
              <w:r w:rsidRPr="00397D53">
                <w:rPr>
                  <w:rStyle w:val="a3"/>
                  <w:b/>
                  <w:bCs/>
                </w:rPr>
                <w:t>п. 39.4</w:t>
              </w:r>
            </w:hyperlink>
            <w:r w:rsidRPr="00397D53">
              <w:t> ФГОС НОО, </w:t>
            </w:r>
            <w:hyperlink r:id="rId46" w:anchor="dfas02nf9d" w:tgtFrame="_blank" w:history="1">
              <w:r w:rsidRPr="00397D53">
                <w:rPr>
                  <w:rStyle w:val="a3"/>
                  <w:b/>
                  <w:bCs/>
                </w:rPr>
                <w:t>п. 40.5</w:t>
              </w:r>
            </w:hyperlink>
            <w:r w:rsidRPr="00397D53">
              <w:t> ФГОС ООО)</w:t>
            </w:r>
          </w:p>
        </w:tc>
      </w:tr>
    </w:tbl>
    <w:p w:rsidR="008729E8" w:rsidRDefault="008729E8"/>
    <w:p w:rsidR="00397D53" w:rsidRPr="00397D53" w:rsidRDefault="00397D53" w:rsidP="00397D53">
      <w:pPr>
        <w:rPr>
          <w:b/>
          <w:bCs/>
          <w:color w:val="FF0000"/>
          <w:sz w:val="36"/>
          <w:u w:val="single"/>
        </w:rPr>
      </w:pPr>
      <w:r w:rsidRPr="00397D53">
        <w:rPr>
          <w:b/>
          <w:bCs/>
          <w:color w:val="FF0000"/>
          <w:sz w:val="36"/>
          <w:u w:val="single"/>
        </w:rPr>
        <w:lastRenderedPageBreak/>
        <w:t>Обратите внимание</w:t>
      </w:r>
    </w:p>
    <w:p w:rsidR="00397D53" w:rsidRPr="00397D53" w:rsidRDefault="00397D53" w:rsidP="00397D53">
      <w:pPr>
        <w:rPr>
          <w:bCs/>
          <w:color w:val="FF0000"/>
          <w:sz w:val="32"/>
        </w:rPr>
      </w:pPr>
      <w:r w:rsidRPr="00397D53">
        <w:rPr>
          <w:bCs/>
          <w:color w:val="FF0000"/>
          <w:sz w:val="32"/>
        </w:rPr>
        <w:t>Какие нестыковки есть в новых </w:t>
      </w:r>
      <w:hyperlink r:id="rId47" w:tgtFrame="_blank" w:history="1">
        <w:r w:rsidRPr="00397D53">
          <w:rPr>
            <w:rStyle w:val="a3"/>
            <w:bCs/>
            <w:color w:val="FF0000"/>
            <w:sz w:val="32"/>
          </w:rPr>
          <w:t>ФГОС НОО</w:t>
        </w:r>
      </w:hyperlink>
      <w:r w:rsidRPr="00397D53">
        <w:rPr>
          <w:bCs/>
          <w:color w:val="FF0000"/>
          <w:sz w:val="32"/>
        </w:rPr>
        <w:t> </w:t>
      </w:r>
      <w:proofErr w:type="gramStart"/>
      <w:r w:rsidRPr="00397D53">
        <w:rPr>
          <w:bCs/>
          <w:color w:val="FF0000"/>
          <w:sz w:val="32"/>
        </w:rPr>
        <w:t>и </w:t>
      </w:r>
      <w:hyperlink r:id="rId48" w:tgtFrame="_blank" w:history="1">
        <w:r w:rsidRPr="00397D53">
          <w:rPr>
            <w:rStyle w:val="a3"/>
            <w:bCs/>
            <w:color w:val="FF0000"/>
            <w:sz w:val="32"/>
          </w:rPr>
          <w:t>ООО</w:t>
        </w:r>
        <w:proofErr w:type="gramEnd"/>
      </w:hyperlink>
      <w:r>
        <w:rPr>
          <w:bCs/>
          <w:color w:val="FF0000"/>
          <w:sz w:val="32"/>
        </w:rPr>
        <w:t> на октябрь 2021</w:t>
      </w:r>
    </w:p>
    <w:p w:rsidR="00397D53" w:rsidRPr="00397D53" w:rsidRDefault="00397D53" w:rsidP="00397D53">
      <w:r w:rsidRPr="00397D53">
        <w:t xml:space="preserve">Законодательные нестыковки </w:t>
      </w:r>
      <w:proofErr w:type="gramStart"/>
      <w:r w:rsidRPr="00397D53">
        <w:t>в</w:t>
      </w:r>
      <w:proofErr w:type="gramEnd"/>
      <w:r w:rsidRPr="00397D53">
        <w:t> </w:t>
      </w:r>
      <w:proofErr w:type="gramStart"/>
      <w:r w:rsidRPr="00397D53">
        <w:t>новых</w:t>
      </w:r>
      <w:proofErr w:type="gramEnd"/>
      <w:r w:rsidRPr="00397D53">
        <w:t xml:space="preserve"> ФГОС касаются программы воспитания и календарного плана воспитательной работы, плана внеурочной деятельности и курсов повышения квалификации для педагогов. Так, из стандартов убрали норму о том, что советы родителей вправе участвовать в разработке программы воспитания и календарного плана воспитательной работы. Но это не означает, что теперь их мнение не надо учитывать. Ведь такое право родителей также закреплено в </w:t>
      </w:r>
      <w:hyperlink r:id="rId49" w:anchor="XA00MAI2MO" w:tgtFrame="_blank" w:history="1">
        <w:r w:rsidRPr="00397D53">
          <w:rPr>
            <w:rStyle w:val="a3"/>
          </w:rPr>
          <w:t>статье 12.1</w:t>
        </w:r>
      </w:hyperlink>
      <w:r w:rsidRPr="00397D53">
        <w:t> Федерального закона от 29.12.2012 № 273-ФЗ.</w:t>
      </w:r>
    </w:p>
    <w:p w:rsidR="00397D53" w:rsidRPr="00397D53" w:rsidRDefault="00397D53" w:rsidP="00397D53">
      <w:r w:rsidRPr="00397D53">
        <w:t>Также в </w:t>
      </w:r>
      <w:proofErr w:type="gramStart"/>
      <w:r w:rsidRPr="00397D53">
        <w:t>новых</w:t>
      </w:r>
      <w:proofErr w:type="gramEnd"/>
      <w:r w:rsidRPr="00397D53">
        <w:t xml:space="preserve"> ФГОС не упоминают, что план внеурочной деятельности школа должна разрабатывать и утверждать самостоятельно. Но юридически это ничего не означает: план – это часть образовательной программы, а потому разрабатывать и утверждать его школа обязана самостоятельно в соответствии с требованиями законодательства.</w:t>
      </w:r>
    </w:p>
    <w:p w:rsidR="00397D53" w:rsidRPr="00397D53" w:rsidRDefault="00397D53" w:rsidP="00397D53">
      <w:r w:rsidRPr="00397D53">
        <w:t>Кроме того, в новых стандартах не упомянули, что педагоги обязаны повышать квалификацию раз в три года. В </w:t>
      </w:r>
      <w:hyperlink r:id="rId50" w:anchor="XA00M7M2N0" w:tgtFrame="_blank" w:history="1">
        <w:r w:rsidRPr="00397D53">
          <w:rPr>
            <w:rStyle w:val="a3"/>
          </w:rPr>
          <w:t>статье 47</w:t>
        </w:r>
      </w:hyperlink>
      <w:r w:rsidRPr="00397D53">
        <w:t> Федерального закона от 29.12.2012 № 273-ФЗ по-прежнему закреплено, что у учителей есть право проходить повышение квалификации раз в три года, а в </w:t>
      </w:r>
      <w:hyperlink r:id="rId51" w:anchor="XA00MBU2NK" w:tgtFrame="_blank" w:history="1">
        <w:r w:rsidRPr="00397D53">
          <w:rPr>
            <w:rStyle w:val="a3"/>
          </w:rPr>
          <w:t>статье 48</w:t>
        </w:r>
      </w:hyperlink>
      <w:r w:rsidRPr="00397D53">
        <w:t> – что они обязаны систематически повышать свой уровень. Но теперь нигде нет четких сроков, как часто школа обязана отправлять учителей на курсы повышения квалификации.</w:t>
      </w:r>
    </w:p>
    <w:p w:rsidR="00397D53" w:rsidRDefault="00397D53"/>
    <w:sectPr w:rsidR="00397D53" w:rsidSect="00397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53"/>
    <w:rsid w:val="00024BD1"/>
    <w:rsid w:val="00397D53"/>
    <w:rsid w:val="00712FA3"/>
    <w:rsid w:val="008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511">
          <w:marLeft w:val="-225"/>
          <w:marRight w:val="-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1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hyperlink" Target="https://e.rukobr.ru/npd-doc?npmid=99&amp;npid=607175842" TargetMode="External"/><Relationship Id="rId50" Type="http://schemas.openxmlformats.org/officeDocument/2006/relationships/hyperlink" Target="https://e.rukobr.ru/npd-doc?npmid=99&amp;npid=902389617&amp;anchor=XA00M7M2N0" TargetMode="External"/><Relationship Id="rId7" Type="http://schemas.openxmlformats.org/officeDocument/2006/relationships/hyperlink" Target="https://e.rukobr.ru/npd-doc?npmid=97&amp;npid=489547&amp;anchor=dfasv1omg6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e.rukobr.ru/npd-doc?npmid=97&amp;npid=489547" TargetMode="Externa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49" Type="http://schemas.openxmlformats.org/officeDocument/2006/relationships/hyperlink" Target="https://e.rukobr.ru/npd-doc?npmid=99&amp;npid=902389617&amp;anchor=XA00MAI2MO" TargetMode="External"/><Relationship Id="rId10" Type="http://schemas.openxmlformats.org/officeDocument/2006/relationships/hyperlink" Target="https://e.rukobr.ru/npd-doc?npmid=97&amp;npid=489548&amp;anchor=dfassx13gb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&amp;anchor=dfaszqlvzv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hyperlink" Target="https://e.rukobr.ru/npd-doc?npmid=99&amp;npid=607175848" TargetMode="External"/><Relationship Id="rId8" Type="http://schemas.openxmlformats.org/officeDocument/2006/relationships/hyperlink" Target="https://e.rukobr.ru/npd-doc?npmid=97&amp;npid=489548&amp;anchor=dfash5wnfp" TargetMode="External"/><Relationship Id="rId51" Type="http://schemas.openxmlformats.org/officeDocument/2006/relationships/hyperlink" Target="https://e.rukobr.ru/npd-doc?npmid=99&amp;npid=902389617&amp;anchor=XA00MBU2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2021-12-13T08:02:00Z</dcterms:created>
  <dcterms:modified xsi:type="dcterms:W3CDTF">2021-12-13T08:02:00Z</dcterms:modified>
</cp:coreProperties>
</file>